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807" w:rsidRPr="001B5DCC" w:rsidRDefault="00D03807" w:rsidP="001B5DCC">
      <w:pPr>
        <w:spacing w:after="0" w:line="480" w:lineRule="auto"/>
        <w:rPr>
          <w:shd w:val="clear" w:color="auto" w:fill="FFFFFF"/>
        </w:rPr>
      </w:pPr>
    </w:p>
    <w:p w:rsidR="001B5DCC" w:rsidRPr="001B5DCC" w:rsidRDefault="001B5DCC" w:rsidP="001B5DCC">
      <w:pPr>
        <w:spacing w:after="0" w:line="480" w:lineRule="auto"/>
        <w:jc w:val="center"/>
      </w:pPr>
      <w:r w:rsidRPr="001B5DCC">
        <w:t>STEPHEN COLLINS</w:t>
      </w:r>
    </w:p>
    <w:p w:rsidR="001B5DCC" w:rsidRPr="001B5DCC" w:rsidRDefault="001B5DCC" w:rsidP="001B5DCC">
      <w:pPr>
        <w:spacing w:after="0" w:line="480" w:lineRule="auto"/>
        <w:jc w:val="center"/>
      </w:pPr>
      <w:r w:rsidRPr="001B5DCC">
        <w:t>Name:</w:t>
      </w:r>
    </w:p>
    <w:p w:rsidR="001B5DCC" w:rsidRPr="001B5DCC" w:rsidRDefault="001B5DCC" w:rsidP="001B5DCC">
      <w:pPr>
        <w:spacing w:after="0" w:line="480" w:lineRule="auto"/>
        <w:jc w:val="center"/>
      </w:pPr>
      <w:r w:rsidRPr="001B5DCC">
        <w:t>Institution:</w:t>
      </w:r>
    </w:p>
    <w:p w:rsidR="001B5DCC" w:rsidRPr="001B5DCC" w:rsidRDefault="001B5DCC" w:rsidP="001B5DCC">
      <w:pPr>
        <w:spacing w:after="0" w:line="480" w:lineRule="auto"/>
        <w:jc w:val="center"/>
      </w:pPr>
      <w:r w:rsidRPr="001B5DCC">
        <w:t>Course:</w:t>
      </w:r>
    </w:p>
    <w:p w:rsidR="008F3E75" w:rsidRPr="001B5DCC" w:rsidRDefault="001B5DCC" w:rsidP="001B5DCC">
      <w:pPr>
        <w:spacing w:after="0" w:line="480" w:lineRule="auto"/>
        <w:jc w:val="center"/>
      </w:pPr>
      <w:r w:rsidRPr="001B5DCC">
        <w:t>Date:</w:t>
      </w:r>
    </w:p>
    <w:p w:rsidR="001B5DCC" w:rsidRPr="001B5DCC" w:rsidRDefault="001B5DCC" w:rsidP="001B5DCC">
      <w:pPr>
        <w:spacing w:after="0" w:line="480" w:lineRule="auto"/>
        <w:jc w:val="center"/>
      </w:pPr>
    </w:p>
    <w:p w:rsidR="001B5DCC" w:rsidRPr="001B5DCC" w:rsidRDefault="001B5DCC" w:rsidP="001B5DCC">
      <w:pPr>
        <w:spacing w:after="0" w:line="480" w:lineRule="auto"/>
        <w:jc w:val="center"/>
      </w:pPr>
    </w:p>
    <w:p w:rsidR="001B5DCC" w:rsidRPr="001B5DCC" w:rsidRDefault="001B5DCC" w:rsidP="001B5DCC">
      <w:pPr>
        <w:spacing w:after="0" w:line="480" w:lineRule="auto"/>
        <w:jc w:val="center"/>
      </w:pPr>
    </w:p>
    <w:p w:rsidR="001B5DCC" w:rsidRPr="001B5DCC" w:rsidRDefault="001B5DCC" w:rsidP="001B5DCC">
      <w:pPr>
        <w:spacing w:after="0" w:line="480" w:lineRule="auto"/>
        <w:jc w:val="center"/>
      </w:pPr>
    </w:p>
    <w:p w:rsidR="001B5DCC" w:rsidRPr="001B5DCC" w:rsidRDefault="001B5DCC" w:rsidP="001B5DCC">
      <w:pPr>
        <w:spacing w:after="0" w:line="480" w:lineRule="auto"/>
        <w:jc w:val="center"/>
      </w:pPr>
    </w:p>
    <w:p w:rsidR="001B5DCC" w:rsidRPr="001B5DCC" w:rsidRDefault="001B5DCC" w:rsidP="001B5DCC">
      <w:pPr>
        <w:spacing w:after="0" w:line="480" w:lineRule="auto"/>
        <w:jc w:val="center"/>
      </w:pPr>
    </w:p>
    <w:p w:rsidR="001B5DCC" w:rsidRPr="001B5DCC" w:rsidRDefault="001B5DCC" w:rsidP="001B5DCC">
      <w:pPr>
        <w:spacing w:after="0" w:line="480" w:lineRule="auto"/>
        <w:jc w:val="center"/>
      </w:pPr>
    </w:p>
    <w:p w:rsidR="001B5DCC" w:rsidRPr="001B5DCC" w:rsidRDefault="001B5DCC" w:rsidP="001B5DCC">
      <w:pPr>
        <w:spacing w:after="0" w:line="480" w:lineRule="auto"/>
        <w:jc w:val="center"/>
      </w:pPr>
    </w:p>
    <w:p w:rsidR="001B5DCC" w:rsidRPr="001B5DCC" w:rsidRDefault="001B5DCC" w:rsidP="001B5DCC">
      <w:pPr>
        <w:spacing w:after="0" w:line="480" w:lineRule="auto"/>
        <w:jc w:val="center"/>
      </w:pPr>
    </w:p>
    <w:p w:rsidR="001B5DCC" w:rsidRPr="001B5DCC" w:rsidRDefault="001B5DCC" w:rsidP="001B5DCC">
      <w:pPr>
        <w:spacing w:after="0" w:line="480" w:lineRule="auto"/>
        <w:jc w:val="center"/>
      </w:pPr>
    </w:p>
    <w:p w:rsidR="001B5DCC" w:rsidRPr="001B5DCC" w:rsidRDefault="001B5DCC" w:rsidP="001B5DCC">
      <w:pPr>
        <w:spacing w:after="0" w:line="480" w:lineRule="auto"/>
        <w:jc w:val="center"/>
      </w:pPr>
    </w:p>
    <w:p w:rsidR="001B5DCC" w:rsidRPr="001B5DCC" w:rsidRDefault="001B5DCC" w:rsidP="001B5DCC">
      <w:pPr>
        <w:spacing w:after="0" w:line="480" w:lineRule="auto"/>
        <w:jc w:val="center"/>
      </w:pPr>
    </w:p>
    <w:p w:rsidR="001B5DCC" w:rsidRPr="001B5DCC" w:rsidRDefault="001B5DCC" w:rsidP="001B5DCC">
      <w:pPr>
        <w:spacing w:after="0" w:line="480" w:lineRule="auto"/>
        <w:jc w:val="center"/>
      </w:pPr>
    </w:p>
    <w:p w:rsidR="001B5DCC" w:rsidRPr="001B5DCC" w:rsidRDefault="001B5DCC" w:rsidP="001B5DCC">
      <w:pPr>
        <w:spacing w:after="0" w:line="480" w:lineRule="auto"/>
        <w:jc w:val="center"/>
      </w:pPr>
    </w:p>
    <w:p w:rsidR="001B5DCC" w:rsidRPr="001B5DCC" w:rsidRDefault="001B5DCC" w:rsidP="001B5DCC">
      <w:pPr>
        <w:spacing w:after="0" w:line="480" w:lineRule="auto"/>
        <w:jc w:val="center"/>
      </w:pPr>
    </w:p>
    <w:p w:rsidR="001B5DCC" w:rsidRPr="001B5DCC" w:rsidRDefault="001B5DCC" w:rsidP="001B5DCC">
      <w:pPr>
        <w:spacing w:after="0" w:line="480" w:lineRule="auto"/>
        <w:jc w:val="center"/>
      </w:pPr>
    </w:p>
    <w:p w:rsidR="001B5DCC" w:rsidRPr="001B5DCC" w:rsidRDefault="001B5DCC" w:rsidP="001B5DCC">
      <w:pPr>
        <w:spacing w:after="0" w:line="480" w:lineRule="auto"/>
      </w:pPr>
    </w:p>
    <w:p w:rsidR="00EF2E37" w:rsidRPr="001B5DCC" w:rsidRDefault="00563297" w:rsidP="001B5DCC">
      <w:pPr>
        <w:spacing w:after="0" w:line="480" w:lineRule="auto"/>
        <w:ind w:firstLine="720"/>
        <w:rPr>
          <w:b/>
        </w:rPr>
      </w:pPr>
      <w:r w:rsidRPr="001B5DCC">
        <w:rPr>
          <w:b/>
        </w:rPr>
        <w:lastRenderedPageBreak/>
        <w:t>1</w:t>
      </w:r>
    </w:p>
    <w:p w:rsidR="00DA274F" w:rsidRPr="001B5DCC" w:rsidRDefault="00563297" w:rsidP="001B5DCC">
      <w:pPr>
        <w:spacing w:after="0" w:line="480" w:lineRule="auto"/>
        <w:ind w:firstLine="720"/>
        <w:rPr>
          <w:shd w:val="clear" w:color="auto" w:fill="FFFFFF"/>
        </w:rPr>
      </w:pPr>
      <w:r w:rsidRPr="001B5DCC">
        <w:t xml:space="preserve">Based on the </w:t>
      </w:r>
      <w:r w:rsidRPr="001B5DCC">
        <w:rPr>
          <w:shd w:val="clear" w:color="auto" w:fill="FFFFFF"/>
        </w:rPr>
        <w:t>Stephen Collins</w:t>
      </w:r>
      <w:r w:rsidR="001B5DCC" w:rsidRPr="001B5DCC">
        <w:rPr>
          <w:shd w:val="clear" w:color="auto" w:fill="FFFFFF"/>
        </w:rPr>
        <w:t xml:space="preserve">’ </w:t>
      </w:r>
      <w:r w:rsidRPr="001B5DCC">
        <w:rPr>
          <w:shd w:val="clear" w:color="auto" w:fill="FFFFFF"/>
        </w:rPr>
        <w:t xml:space="preserve">case involving the release of the taped therapy sessions in which he admits to inappropriate conduct with three (3) minors, the release of the alleged tape confessions does not violate the American </w:t>
      </w:r>
      <w:r w:rsidRPr="001B5DCC">
        <w:rPr>
          <w:shd w:val="clear" w:color="auto" w:fill="FFFFFF"/>
        </w:rPr>
        <w:t>Psychological Association’s Code of Ethics.</w:t>
      </w:r>
      <w:r w:rsidR="00055AC4" w:rsidRPr="001B5DCC">
        <w:rPr>
          <w:shd w:val="clear" w:color="auto" w:fill="FFFFFF"/>
        </w:rPr>
        <w:t xml:space="preserve"> According to the American Psychological Association’s Code of Ethics specifically on California State Law, there are exceptions permitted by the law in which the confidentiality rule can be overridden. To be specific, the ‘exceptional’ law states that where there is reasonable </w:t>
      </w:r>
      <w:r w:rsidR="003D4673" w:rsidRPr="001B5DCC">
        <w:rPr>
          <w:shd w:val="clear" w:color="auto" w:fill="FFFFFF"/>
        </w:rPr>
        <w:t>evidence of suspicion of child abuse or elder adult abuse, where the there is a reasonable suspicion that you may present a danger of violence to others; and where there is reasonable evidence that you may harm yourself unless protecti</w:t>
      </w:r>
      <w:r w:rsidR="009E61B8" w:rsidRPr="001B5DCC">
        <w:rPr>
          <w:shd w:val="clear" w:color="auto" w:fill="FFFFFF"/>
        </w:rPr>
        <w:t>ve measures are taken, then tha</w:t>
      </w:r>
      <w:r w:rsidR="003D4673" w:rsidRPr="001B5DCC">
        <w:rPr>
          <w:shd w:val="clear" w:color="auto" w:fill="FFFFFF"/>
        </w:rPr>
        <w:t>t can serve as an exception to releasing the information</w:t>
      </w:r>
      <w:sdt>
        <w:sdtPr>
          <w:rPr>
            <w:shd w:val="clear" w:color="auto" w:fill="FFFFFF"/>
          </w:rPr>
          <w:id w:val="-863435964"/>
          <w:citation/>
        </w:sdtPr>
        <w:sdtEndPr/>
        <w:sdtContent>
          <w:r w:rsidR="00270CB5" w:rsidRPr="001B5DCC">
            <w:rPr>
              <w:shd w:val="clear" w:color="auto" w:fill="FFFFFF"/>
            </w:rPr>
            <w:fldChar w:fldCharType="begin"/>
          </w:r>
          <w:r w:rsidR="00270CB5" w:rsidRPr="001B5DCC">
            <w:rPr>
              <w:shd w:val="clear" w:color="auto" w:fill="FFFFFF"/>
            </w:rPr>
            <w:instrText xml:space="preserve"> CITATION Ame17 \l 1033 </w:instrText>
          </w:r>
          <w:r w:rsidR="00270CB5" w:rsidRPr="001B5DCC">
            <w:rPr>
              <w:shd w:val="clear" w:color="auto" w:fill="FFFFFF"/>
            </w:rPr>
            <w:fldChar w:fldCharType="separate"/>
          </w:r>
          <w:r w:rsidR="00270CB5" w:rsidRPr="001B5DCC">
            <w:rPr>
              <w:noProof/>
              <w:shd w:val="clear" w:color="auto" w:fill="FFFFFF"/>
            </w:rPr>
            <w:t xml:space="preserve"> (Ethics, 2017)</w:t>
          </w:r>
          <w:r w:rsidR="00270CB5" w:rsidRPr="001B5DCC">
            <w:rPr>
              <w:shd w:val="clear" w:color="auto" w:fill="FFFFFF"/>
            </w:rPr>
            <w:fldChar w:fldCharType="end"/>
          </w:r>
        </w:sdtContent>
      </w:sdt>
      <w:r w:rsidR="003D4673" w:rsidRPr="001B5DCC">
        <w:rPr>
          <w:shd w:val="clear" w:color="auto" w:fill="FFFFFF"/>
        </w:rPr>
        <w:t>.  Thus, in this case, the release of tape confessions and therapy sessions is</w:t>
      </w:r>
      <w:r w:rsidRPr="001B5DCC">
        <w:rPr>
          <w:shd w:val="clear" w:color="auto" w:fill="FFFFFF"/>
        </w:rPr>
        <w:t xml:space="preserve"> j</w:t>
      </w:r>
      <w:r w:rsidRPr="001B5DCC">
        <w:rPr>
          <w:shd w:val="clear" w:color="auto" w:fill="FFFFFF"/>
        </w:rPr>
        <w:t>ustifiable</w:t>
      </w:r>
      <w:r w:rsidR="003D4673" w:rsidRPr="001B5DCC">
        <w:rPr>
          <w:shd w:val="clear" w:color="auto" w:fill="FFFFFF"/>
        </w:rPr>
        <w:t>. The California law requires the psychologists to act the role of reporters once they are in a position to identify reasonable suspicions</w:t>
      </w:r>
      <w:r w:rsidR="00B40B98" w:rsidRPr="001B5DCC">
        <w:rPr>
          <w:shd w:val="clear" w:color="auto" w:fill="FFFFFF"/>
        </w:rPr>
        <w:t xml:space="preserve"> of maltreatment.</w:t>
      </w:r>
    </w:p>
    <w:p w:rsidR="00B40B98" w:rsidRPr="001B5DCC" w:rsidRDefault="00563297" w:rsidP="001B5DCC">
      <w:pPr>
        <w:spacing w:after="0" w:line="480" w:lineRule="auto"/>
        <w:ind w:firstLine="720"/>
      </w:pPr>
      <w:r w:rsidRPr="001B5DCC">
        <w:rPr>
          <w:shd w:val="clear" w:color="auto" w:fill="FFFFFF"/>
        </w:rPr>
        <w:t>The release of the alleged tape sessions is not against the law. The primary reason why th</w:t>
      </w:r>
      <w:r w:rsidRPr="001B5DCC">
        <w:rPr>
          <w:shd w:val="clear" w:color="auto" w:fill="FFFFFF"/>
        </w:rPr>
        <w:t>ere is no likelihood of a lawsuit against the therapist and the media outlet concerning  the release of the tape</w:t>
      </w:r>
      <w:r w:rsidR="00EF2E37" w:rsidRPr="001B5DCC">
        <w:rPr>
          <w:shd w:val="clear" w:color="auto" w:fill="FFFFFF"/>
        </w:rPr>
        <w:t xml:space="preserve"> therapy sessions</w:t>
      </w:r>
      <w:r w:rsidRPr="001B5DCC">
        <w:rPr>
          <w:shd w:val="clear" w:color="auto" w:fill="FFFFFF"/>
        </w:rPr>
        <w:t>, </w:t>
      </w:r>
      <w:r w:rsidRPr="001B5DCC">
        <w:rPr>
          <w:shd w:val="clear" w:color="auto" w:fill="FFFFFF"/>
        </w:rPr>
        <w:t xml:space="preserve"> is because, the main aim objective of ‘health professionals’ (psychologists) is to work towards safeguarding the lives of the client and those that may be impacted by the condition of the client. Thus, it can be argued that the</w:t>
      </w:r>
      <w:r w:rsidRPr="001B5DCC">
        <w:t xml:space="preserve"> crucial intent of the repor</w:t>
      </w:r>
      <w:r w:rsidRPr="001B5DCC">
        <w:t>ting Stephen Collins' case is to protect children who may be vulnerable to his behaviors. Equally the release of therapy sessions is important as it offers the opportunity to protect potential victims, as it will serve as a facilitator for bringing about c</w:t>
      </w:r>
      <w:r w:rsidRPr="001B5DCC">
        <w:t>hange in the community which in long run may lessen the risk of abuse in the society.</w:t>
      </w:r>
    </w:p>
    <w:p w:rsidR="004E7CDB" w:rsidRPr="001B5DCC" w:rsidRDefault="00563297" w:rsidP="001B5DCC">
      <w:pPr>
        <w:spacing w:after="0" w:line="480" w:lineRule="auto"/>
        <w:ind w:firstLine="720"/>
        <w:rPr>
          <w:b/>
          <w:shd w:val="clear" w:color="auto" w:fill="FFFFFF"/>
        </w:rPr>
      </w:pPr>
      <w:r w:rsidRPr="001B5DCC">
        <w:rPr>
          <w:b/>
        </w:rPr>
        <w:lastRenderedPageBreak/>
        <w:t>2</w:t>
      </w:r>
    </w:p>
    <w:p w:rsidR="00920175" w:rsidRPr="001B5DCC" w:rsidRDefault="00563297" w:rsidP="001B5DCC">
      <w:pPr>
        <w:pStyle w:val="Heading3"/>
        <w:shd w:val="clear" w:color="auto" w:fill="FFFFFF"/>
        <w:spacing w:before="0" w:beforeAutospacing="0" w:after="0" w:afterAutospacing="0" w:line="480" w:lineRule="auto"/>
        <w:ind w:firstLine="720"/>
        <w:textAlignment w:val="baseline"/>
        <w:rPr>
          <w:b w:val="0"/>
          <w:sz w:val="24"/>
          <w:szCs w:val="24"/>
        </w:rPr>
      </w:pPr>
      <w:r w:rsidRPr="001B5DCC">
        <w:rPr>
          <w:b w:val="0"/>
          <w:sz w:val="24"/>
          <w:szCs w:val="24"/>
          <w:shd w:val="clear" w:color="auto" w:fill="FFFFFF"/>
        </w:rPr>
        <w:t>Forensic psychologists can be theorized to be professionals encompassed in both sides of the justice system and also in clinical and experimental aspects of psychology.</w:t>
      </w:r>
      <w:r w:rsidRPr="001B5DCC">
        <w:rPr>
          <w:b w:val="0"/>
          <w:sz w:val="24"/>
          <w:szCs w:val="24"/>
          <w:shd w:val="clear" w:color="auto" w:fill="FFFFFF"/>
        </w:rPr>
        <w:t xml:space="preserve"> Based on these two broad areas, it can be ascertained that there are a wide variety of roles and responsibilities of forensic psychologists. According to the American Psychology Association, f</w:t>
      </w:r>
      <w:r w:rsidRPr="001B5DCC">
        <w:rPr>
          <w:b w:val="0"/>
          <w:sz w:val="24"/>
          <w:szCs w:val="24"/>
        </w:rPr>
        <w:t>orensic psychologists can perform the role of evaluators; threa</w:t>
      </w:r>
      <w:r w:rsidRPr="001B5DCC">
        <w:rPr>
          <w:b w:val="0"/>
          <w:sz w:val="24"/>
          <w:szCs w:val="24"/>
        </w:rPr>
        <w:t xml:space="preserve">t assessment and child custody evaluations, </w:t>
      </w:r>
      <w:r w:rsidRPr="001B5DCC">
        <w:rPr>
          <w:b w:val="0"/>
          <w:iCs/>
          <w:sz w:val="24"/>
          <w:szCs w:val="24"/>
          <w:bdr w:val="none" w:sz="0" w:space="0" w:color="auto" w:frame="1"/>
        </w:rPr>
        <w:t xml:space="preserve">expert witness; </w:t>
      </w:r>
      <w:r w:rsidRPr="001B5DCC">
        <w:rPr>
          <w:b w:val="0"/>
          <w:sz w:val="24"/>
          <w:szCs w:val="24"/>
        </w:rPr>
        <w:t>competency evaluations of criminal defendants and of the elderly, counseling services to victims of crime, trial consultants; death notification procedures, screening and selection of law enforcem</w:t>
      </w:r>
      <w:r w:rsidRPr="001B5DCC">
        <w:rPr>
          <w:b w:val="0"/>
          <w:sz w:val="24"/>
          <w:szCs w:val="24"/>
        </w:rPr>
        <w:t>ent applicants, intervention and treatment programs for ju</w:t>
      </w:r>
      <w:r w:rsidR="00270CB5" w:rsidRPr="001B5DCC">
        <w:rPr>
          <w:b w:val="0"/>
          <w:sz w:val="24"/>
          <w:szCs w:val="24"/>
        </w:rPr>
        <w:t xml:space="preserve">venile and adult offenders </w:t>
      </w:r>
      <w:sdt>
        <w:sdtPr>
          <w:rPr>
            <w:b w:val="0"/>
            <w:sz w:val="24"/>
            <w:szCs w:val="24"/>
          </w:rPr>
          <w:id w:val="-82843977"/>
          <w:citation/>
        </w:sdtPr>
        <w:sdtEndPr/>
        <w:sdtContent>
          <w:r w:rsidR="00270CB5" w:rsidRPr="001B5DCC">
            <w:rPr>
              <w:b w:val="0"/>
              <w:sz w:val="24"/>
              <w:szCs w:val="24"/>
            </w:rPr>
            <w:fldChar w:fldCharType="begin"/>
          </w:r>
          <w:r w:rsidR="00270CB5" w:rsidRPr="001B5DCC">
            <w:rPr>
              <w:b w:val="0"/>
              <w:sz w:val="24"/>
              <w:szCs w:val="24"/>
            </w:rPr>
            <w:instrText xml:space="preserve"> CITATION Ame17 \l 1033 </w:instrText>
          </w:r>
          <w:r w:rsidR="00270CB5" w:rsidRPr="001B5DCC">
            <w:rPr>
              <w:b w:val="0"/>
              <w:sz w:val="24"/>
              <w:szCs w:val="24"/>
            </w:rPr>
            <w:fldChar w:fldCharType="separate"/>
          </w:r>
          <w:r w:rsidR="00270CB5" w:rsidRPr="001B5DCC">
            <w:rPr>
              <w:b w:val="0"/>
              <w:noProof/>
              <w:sz w:val="24"/>
              <w:szCs w:val="24"/>
            </w:rPr>
            <w:t>(Ethics, 2017)</w:t>
          </w:r>
          <w:r w:rsidR="00270CB5" w:rsidRPr="001B5DCC">
            <w:rPr>
              <w:b w:val="0"/>
              <w:sz w:val="24"/>
              <w:szCs w:val="24"/>
            </w:rPr>
            <w:fldChar w:fldCharType="end"/>
          </w:r>
        </w:sdtContent>
      </w:sdt>
      <w:r w:rsidRPr="001B5DCC">
        <w:rPr>
          <w:b w:val="0"/>
          <w:sz w:val="24"/>
          <w:szCs w:val="24"/>
        </w:rPr>
        <w:t>.</w:t>
      </w:r>
    </w:p>
    <w:p w:rsidR="00920175" w:rsidRPr="001B5DCC" w:rsidRDefault="00563297" w:rsidP="001B5DCC">
      <w:pPr>
        <w:pStyle w:val="Heading3"/>
        <w:shd w:val="clear" w:color="auto" w:fill="FFFFFF"/>
        <w:spacing w:before="0" w:beforeAutospacing="0" w:after="0" w:afterAutospacing="0" w:line="480" w:lineRule="auto"/>
        <w:ind w:firstLine="720"/>
        <w:textAlignment w:val="baseline"/>
        <w:rPr>
          <w:b w:val="0"/>
          <w:sz w:val="24"/>
          <w:szCs w:val="24"/>
          <w:shd w:val="clear" w:color="auto" w:fill="FFFFFF"/>
        </w:rPr>
      </w:pPr>
      <w:r w:rsidRPr="001B5DCC">
        <w:rPr>
          <w:b w:val="0"/>
          <w:sz w:val="24"/>
          <w:szCs w:val="24"/>
        </w:rPr>
        <w:t xml:space="preserve">Based on Stephen Collins' case, if his trial goes through, the forensic psychologists will have to play the role of an expert </w:t>
      </w:r>
      <w:r w:rsidRPr="001B5DCC">
        <w:rPr>
          <w:b w:val="0"/>
          <w:sz w:val="24"/>
          <w:szCs w:val="24"/>
        </w:rPr>
        <w:t xml:space="preserve">witness. As an expert witness, they </w:t>
      </w:r>
      <w:r w:rsidRPr="001B5DCC">
        <w:rPr>
          <w:b w:val="0"/>
          <w:sz w:val="24"/>
          <w:szCs w:val="24"/>
          <w:shd w:val="clear" w:color="auto" w:fill="FFFFFF"/>
        </w:rPr>
        <w:t>will have to testify in court regarding a specialized knowledge that they possess concerning Stephen Collins.  In most case, forensic psychologists are required by the judicial system to testify concerning matters of men</w:t>
      </w:r>
      <w:r w:rsidRPr="001B5DCC">
        <w:rPr>
          <w:b w:val="0"/>
          <w:sz w:val="24"/>
          <w:szCs w:val="24"/>
          <w:shd w:val="clear" w:color="auto" w:fill="FFFFFF"/>
        </w:rPr>
        <w:t>tal health, general theory in psychological law</w:t>
      </w:r>
      <w:r w:rsidR="003E2A12" w:rsidRPr="001B5DCC">
        <w:rPr>
          <w:b w:val="0"/>
          <w:sz w:val="24"/>
          <w:szCs w:val="24"/>
          <w:shd w:val="clear" w:color="auto" w:fill="FFFFFF"/>
        </w:rPr>
        <w:t xml:space="preserve"> (Saks &amp; Koehler, 2005)</w:t>
      </w:r>
      <w:r w:rsidRPr="001B5DCC">
        <w:rPr>
          <w:b w:val="0"/>
          <w:sz w:val="24"/>
          <w:szCs w:val="24"/>
          <w:shd w:val="clear" w:color="auto" w:fill="FFFFFF"/>
        </w:rPr>
        <w:t>. However, in this case, they will serve as general expert witnesses where they will be obliged to testify about wider psychological doctrines in which they have specialized expertise.</w:t>
      </w:r>
    </w:p>
    <w:p w:rsidR="009326D7" w:rsidRPr="001B5DCC" w:rsidRDefault="00563297" w:rsidP="001B5DCC">
      <w:pPr>
        <w:pStyle w:val="Heading3"/>
        <w:shd w:val="clear" w:color="auto" w:fill="FFFFFF"/>
        <w:spacing w:before="0" w:beforeAutospacing="0" w:after="0" w:afterAutospacing="0" w:line="480" w:lineRule="auto"/>
        <w:ind w:firstLine="720"/>
        <w:textAlignment w:val="baseline"/>
        <w:rPr>
          <w:b w:val="0"/>
          <w:sz w:val="24"/>
          <w:szCs w:val="24"/>
          <w:shd w:val="clear" w:color="auto" w:fill="FFFFFF"/>
        </w:rPr>
      </w:pPr>
      <w:r w:rsidRPr="001B5DCC">
        <w:rPr>
          <w:b w:val="0"/>
          <w:bCs w:val="0"/>
          <w:sz w:val="24"/>
          <w:szCs w:val="24"/>
        </w:rPr>
        <w:t>The role of an expert witness is important in this case because with their</w:t>
      </w:r>
      <w:r w:rsidRPr="001B5DCC">
        <w:rPr>
          <w:b w:val="0"/>
          <w:sz w:val="24"/>
          <w:szCs w:val="24"/>
          <w:shd w:val="clear" w:color="auto" w:fill="FFFFFF"/>
        </w:rPr>
        <w:t xml:space="preserve"> professional expertise they will expound on some opinions especially on the severity of the allegations in the court and also they will offer detailed scientific knowledge on the ps</w:t>
      </w:r>
      <w:r w:rsidRPr="001B5DCC">
        <w:rPr>
          <w:b w:val="0"/>
          <w:sz w:val="24"/>
          <w:szCs w:val="24"/>
          <w:shd w:val="clear" w:color="auto" w:fill="FFFFFF"/>
        </w:rPr>
        <w:t>ychological attributes of the case. Just like</w:t>
      </w:r>
      <w:r w:rsidR="00C926A4" w:rsidRPr="001B5DCC">
        <w:rPr>
          <w:b w:val="0"/>
          <w:sz w:val="24"/>
          <w:szCs w:val="24"/>
          <w:shd w:val="clear" w:color="auto" w:fill="FFFFFF"/>
        </w:rPr>
        <w:t xml:space="preserve"> any other witness in the court.</w:t>
      </w:r>
      <w:r w:rsidRPr="001B5DCC">
        <w:rPr>
          <w:b w:val="0"/>
          <w:sz w:val="24"/>
          <w:szCs w:val="24"/>
          <w:shd w:val="clear" w:color="auto" w:fill="FFFFFF"/>
        </w:rPr>
        <w:t xml:space="preserve"> As an expert witness, the forensic psychologists’ duties must be truthful in respects to the particulars of the case. Additionally, they must be honest as to t</w:t>
      </w:r>
      <w:r w:rsidR="00C926A4" w:rsidRPr="001B5DCC">
        <w:rPr>
          <w:b w:val="0"/>
          <w:sz w:val="24"/>
          <w:szCs w:val="24"/>
          <w:shd w:val="clear" w:color="auto" w:fill="FFFFFF"/>
        </w:rPr>
        <w:t>heir opinion when presenting either written reports or</w:t>
      </w:r>
      <w:r w:rsidRPr="001B5DCC">
        <w:rPr>
          <w:b w:val="0"/>
          <w:sz w:val="24"/>
          <w:szCs w:val="24"/>
          <w:shd w:val="clear" w:color="auto" w:fill="FFFFFF"/>
        </w:rPr>
        <w:t xml:space="preserve"> oral evidence.</w:t>
      </w:r>
    </w:p>
    <w:p w:rsidR="00920175" w:rsidRPr="001B5DCC" w:rsidRDefault="00563297" w:rsidP="001B5DCC">
      <w:pPr>
        <w:pStyle w:val="Heading3"/>
        <w:shd w:val="clear" w:color="auto" w:fill="FFFFFF"/>
        <w:spacing w:before="0" w:beforeAutospacing="0" w:after="0" w:afterAutospacing="0" w:line="480" w:lineRule="auto"/>
        <w:ind w:firstLine="720"/>
        <w:textAlignment w:val="baseline"/>
        <w:rPr>
          <w:b w:val="0"/>
          <w:sz w:val="24"/>
          <w:szCs w:val="24"/>
          <w:shd w:val="clear" w:color="auto" w:fill="FFFFFF"/>
        </w:rPr>
      </w:pPr>
      <w:r w:rsidRPr="001B5DCC">
        <w:rPr>
          <w:b w:val="0"/>
          <w:sz w:val="24"/>
          <w:szCs w:val="24"/>
          <w:shd w:val="clear" w:color="auto" w:fill="FFFFFF"/>
        </w:rPr>
        <w:lastRenderedPageBreak/>
        <w:t xml:space="preserve"> </w:t>
      </w:r>
    </w:p>
    <w:p w:rsidR="004E7CDB" w:rsidRPr="001B5DCC" w:rsidRDefault="00563297" w:rsidP="001B5DCC">
      <w:pPr>
        <w:pStyle w:val="Heading3"/>
        <w:shd w:val="clear" w:color="auto" w:fill="FFFFFF"/>
        <w:spacing w:before="0" w:beforeAutospacing="0" w:after="0" w:afterAutospacing="0" w:line="480" w:lineRule="auto"/>
        <w:ind w:firstLine="720"/>
        <w:textAlignment w:val="baseline"/>
        <w:rPr>
          <w:sz w:val="24"/>
          <w:szCs w:val="24"/>
          <w:shd w:val="clear" w:color="auto" w:fill="FFFFFF"/>
        </w:rPr>
      </w:pPr>
      <w:r w:rsidRPr="001B5DCC">
        <w:rPr>
          <w:sz w:val="24"/>
          <w:szCs w:val="24"/>
          <w:shd w:val="clear" w:color="auto" w:fill="FFFFFF"/>
        </w:rPr>
        <w:t>3</w:t>
      </w:r>
    </w:p>
    <w:p w:rsidR="00C96DFB" w:rsidRPr="001B5DCC" w:rsidRDefault="00563297" w:rsidP="001B5DCC">
      <w:pPr>
        <w:pStyle w:val="Heading1"/>
        <w:shd w:val="clear" w:color="auto" w:fill="FFFFFF"/>
        <w:spacing w:before="45" w:line="480" w:lineRule="auto"/>
        <w:ind w:firstLine="720"/>
        <w:rPr>
          <w:rFonts w:ascii="Times New Roman" w:hAnsi="Times New Roman" w:cs="Times New Roman"/>
          <w:b w:val="0"/>
          <w:bCs w:val="0"/>
          <w:color w:val="auto"/>
          <w:sz w:val="24"/>
          <w:szCs w:val="24"/>
        </w:rPr>
      </w:pPr>
      <w:r w:rsidRPr="001B5DCC">
        <w:rPr>
          <w:rFonts w:ascii="Times New Roman" w:hAnsi="Times New Roman" w:cs="Times New Roman"/>
          <w:b w:val="0"/>
          <w:color w:val="auto"/>
          <w:sz w:val="24"/>
          <w:szCs w:val="24"/>
          <w:shd w:val="clear" w:color="auto" w:fill="FFFFFF"/>
        </w:rPr>
        <w:t xml:space="preserve">There are </w:t>
      </w:r>
      <w:r w:rsidR="004E7CDB" w:rsidRPr="001B5DCC">
        <w:rPr>
          <w:rFonts w:ascii="Times New Roman" w:hAnsi="Times New Roman" w:cs="Times New Roman"/>
          <w:b w:val="0"/>
          <w:color w:val="auto"/>
          <w:sz w:val="24"/>
          <w:szCs w:val="24"/>
          <w:shd w:val="clear" w:color="auto" w:fill="FFFFFF"/>
        </w:rPr>
        <w:t>various</w:t>
      </w:r>
      <w:r w:rsidRPr="001B5DCC">
        <w:rPr>
          <w:rFonts w:ascii="Times New Roman" w:hAnsi="Times New Roman" w:cs="Times New Roman"/>
          <w:b w:val="0"/>
          <w:color w:val="auto"/>
          <w:sz w:val="24"/>
          <w:szCs w:val="24"/>
          <w:shd w:val="clear" w:color="auto" w:fill="FFFFFF"/>
        </w:rPr>
        <w:t xml:space="preserve"> regulations that can be adopted by the Substance Abuse and Mental Health Services Administration (SAMHSA) rules to accommodate changes in how patient therapy sessions can be recorded </w:t>
      </w:r>
      <w:r w:rsidRPr="001B5DCC">
        <w:rPr>
          <w:rFonts w:ascii="Times New Roman" w:hAnsi="Times New Roman" w:cs="Times New Roman"/>
          <w:b w:val="0"/>
          <w:color w:val="auto"/>
          <w:sz w:val="24"/>
          <w:szCs w:val="24"/>
          <w:shd w:val="clear" w:color="auto" w:fill="FFFFFF"/>
        </w:rPr>
        <w:t>in order to balance protecting the public with protecting patient privacy. Based on this case, SAMHSA can adopt a regulation that allows clients to manage the therapy recordings, for instance, the patient may consent to permit exposé of their stored materi</w:t>
      </w:r>
      <w:r w:rsidRPr="001B5DCC">
        <w:rPr>
          <w:rFonts w:ascii="Times New Roman" w:hAnsi="Times New Roman" w:cs="Times New Roman"/>
          <w:b w:val="0"/>
          <w:color w:val="auto"/>
          <w:sz w:val="24"/>
          <w:szCs w:val="24"/>
          <w:shd w:val="clear" w:color="auto" w:fill="FFFFFF"/>
        </w:rPr>
        <w:t>al to benefactors through health information exchanges, conferring to the regulations of their specific state</w:t>
      </w:r>
      <w:r w:rsidR="009326D7" w:rsidRPr="001B5DCC">
        <w:rPr>
          <w:rFonts w:ascii="Times New Roman" w:hAnsi="Times New Roman" w:cs="Times New Roman"/>
          <w:b w:val="0"/>
          <w:color w:val="auto"/>
          <w:sz w:val="24"/>
          <w:szCs w:val="24"/>
          <w:shd w:val="clear" w:color="auto" w:fill="FFFFFF"/>
        </w:rPr>
        <w:t xml:space="preserve"> (Center for Substance Abuse Treatment, 1997)</w:t>
      </w:r>
      <w:r w:rsidRPr="001B5DCC">
        <w:rPr>
          <w:rFonts w:ascii="Times New Roman" w:hAnsi="Times New Roman" w:cs="Times New Roman"/>
          <w:b w:val="0"/>
          <w:color w:val="auto"/>
          <w:sz w:val="24"/>
          <w:szCs w:val="24"/>
          <w:shd w:val="clear" w:color="auto" w:fill="FFFFFF"/>
        </w:rPr>
        <w:t xml:space="preserve">. The U.S law requires under </w:t>
      </w:r>
      <w:r w:rsidRPr="001B5DCC">
        <w:rPr>
          <w:rFonts w:ascii="Times New Roman" w:hAnsi="Times New Roman" w:cs="Times New Roman"/>
          <w:b w:val="0"/>
          <w:bCs w:val="0"/>
          <w:color w:val="auto"/>
          <w:sz w:val="24"/>
          <w:szCs w:val="24"/>
        </w:rPr>
        <w:t>U.S. Code § 290dd-2 - Confidentiality of records</w:t>
      </w:r>
      <w:bookmarkStart w:id="0" w:name="a"/>
      <w:bookmarkEnd w:id="0"/>
      <w:r w:rsidRPr="001B5DCC">
        <w:rPr>
          <w:rFonts w:ascii="Times New Roman" w:hAnsi="Times New Roman" w:cs="Times New Roman"/>
          <w:b w:val="0"/>
          <w:bCs w:val="0"/>
          <w:color w:val="auto"/>
          <w:sz w:val="24"/>
          <w:szCs w:val="24"/>
        </w:rPr>
        <w:t>, requires, “</w:t>
      </w:r>
      <w:r w:rsidRPr="001B5DCC">
        <w:rPr>
          <w:rFonts w:ascii="Times New Roman" w:hAnsi="Times New Roman" w:cs="Times New Roman"/>
          <w:b w:val="0"/>
          <w:color w:val="auto"/>
          <w:sz w:val="24"/>
          <w:szCs w:val="24"/>
        </w:rPr>
        <w:t xml:space="preserve">Records of </w:t>
      </w:r>
      <w:r w:rsidRPr="001B5DCC">
        <w:rPr>
          <w:rFonts w:ascii="Times New Roman" w:hAnsi="Times New Roman" w:cs="Times New Roman"/>
          <w:b w:val="0"/>
          <w:color w:val="auto"/>
          <w:sz w:val="24"/>
          <w:szCs w:val="24"/>
        </w:rPr>
        <w:t>the identity, diagnosis, prognosis, or treatment of any patient which are maintained in connection with the performance of any program or activity relating to substance abuse education, prevention, training,</w:t>
      </w:r>
      <w:r w:rsidRPr="001B5DCC">
        <w:rPr>
          <w:rFonts w:ascii="Times New Roman" w:hAnsi="Times New Roman" w:cs="Times New Roman"/>
          <w:b w:val="0"/>
          <w:color w:val="auto"/>
          <w:sz w:val="24"/>
          <w:szCs w:val="24"/>
          <w:shd w:val="clear" w:color="auto" w:fill="FFFFFF"/>
        </w:rPr>
        <w:t xml:space="preserve"> rehabilitation, or research, which is conducted,</w:t>
      </w:r>
      <w:r w:rsidRPr="001B5DCC">
        <w:rPr>
          <w:rFonts w:ascii="Times New Roman" w:hAnsi="Times New Roman" w:cs="Times New Roman"/>
          <w:b w:val="0"/>
          <w:color w:val="auto"/>
          <w:sz w:val="24"/>
          <w:szCs w:val="24"/>
          <w:shd w:val="clear" w:color="auto" w:fill="FFFFFF"/>
        </w:rPr>
        <w:t xml:space="preserve"> regulated, or directly or indirectly assisted by any department or agency of the United States shall, be confidential and be disclosed only for the purposes and under the circumstances expressly author</w:t>
      </w:r>
      <w:r w:rsidR="000850BA" w:rsidRPr="001B5DCC">
        <w:rPr>
          <w:rFonts w:ascii="Times New Roman" w:hAnsi="Times New Roman" w:cs="Times New Roman"/>
          <w:b w:val="0"/>
          <w:color w:val="auto"/>
          <w:sz w:val="24"/>
          <w:szCs w:val="24"/>
          <w:shd w:val="clear" w:color="auto" w:fill="FFFFFF"/>
        </w:rPr>
        <w:t>ized under the law,</w:t>
      </w:r>
      <w:r w:rsidRPr="001B5DCC">
        <w:rPr>
          <w:rFonts w:ascii="Times New Roman" w:hAnsi="Times New Roman" w:cs="Times New Roman"/>
          <w:b w:val="0"/>
          <w:color w:val="auto"/>
          <w:sz w:val="24"/>
          <w:szCs w:val="24"/>
          <w:shd w:val="clear" w:color="auto" w:fill="FFFFFF"/>
        </w:rPr>
        <w:t>”</w:t>
      </w:r>
      <w:sdt>
        <w:sdtPr>
          <w:rPr>
            <w:rFonts w:ascii="Times New Roman" w:hAnsi="Times New Roman" w:cs="Times New Roman"/>
            <w:b w:val="0"/>
            <w:color w:val="auto"/>
            <w:sz w:val="24"/>
            <w:szCs w:val="24"/>
            <w:shd w:val="clear" w:color="auto" w:fill="FFFFFF"/>
          </w:rPr>
          <w:id w:val="663131577"/>
          <w:citation/>
        </w:sdtPr>
        <w:sdtEndPr/>
        <w:sdtContent>
          <w:r w:rsidR="009326D7" w:rsidRPr="001B5DCC">
            <w:rPr>
              <w:rFonts w:ascii="Times New Roman" w:hAnsi="Times New Roman" w:cs="Times New Roman"/>
              <w:b w:val="0"/>
              <w:color w:val="auto"/>
              <w:sz w:val="24"/>
              <w:szCs w:val="24"/>
              <w:shd w:val="clear" w:color="auto" w:fill="FFFFFF"/>
            </w:rPr>
            <w:fldChar w:fldCharType="begin"/>
          </w:r>
          <w:r w:rsidR="009326D7" w:rsidRPr="001B5DCC">
            <w:rPr>
              <w:rFonts w:ascii="Times New Roman" w:hAnsi="Times New Roman" w:cs="Times New Roman"/>
              <w:b w:val="0"/>
              <w:color w:val="auto"/>
              <w:sz w:val="24"/>
              <w:szCs w:val="24"/>
              <w:shd w:val="clear" w:color="auto" w:fill="FFFFFF"/>
            </w:rPr>
            <w:instrText xml:space="preserve"> CITATION Leg92 \l 1033 </w:instrText>
          </w:r>
          <w:r w:rsidR="009326D7" w:rsidRPr="001B5DCC">
            <w:rPr>
              <w:rFonts w:ascii="Times New Roman" w:hAnsi="Times New Roman" w:cs="Times New Roman"/>
              <w:b w:val="0"/>
              <w:color w:val="auto"/>
              <w:sz w:val="24"/>
              <w:szCs w:val="24"/>
              <w:shd w:val="clear" w:color="auto" w:fill="FFFFFF"/>
            </w:rPr>
            <w:fldChar w:fldCharType="separate"/>
          </w:r>
          <w:r w:rsidR="009326D7" w:rsidRPr="001B5DCC">
            <w:rPr>
              <w:rFonts w:ascii="Times New Roman" w:hAnsi="Times New Roman" w:cs="Times New Roman"/>
              <w:b w:val="0"/>
              <w:noProof/>
              <w:color w:val="auto"/>
              <w:sz w:val="24"/>
              <w:szCs w:val="24"/>
              <w:shd w:val="clear" w:color="auto" w:fill="FFFFFF"/>
            </w:rPr>
            <w:t xml:space="preserve"> (Insititute, 1992)</w:t>
          </w:r>
          <w:r w:rsidR="009326D7" w:rsidRPr="001B5DCC">
            <w:rPr>
              <w:rFonts w:ascii="Times New Roman" w:hAnsi="Times New Roman" w:cs="Times New Roman"/>
              <w:b w:val="0"/>
              <w:color w:val="auto"/>
              <w:sz w:val="24"/>
              <w:szCs w:val="24"/>
              <w:shd w:val="clear" w:color="auto" w:fill="FFFFFF"/>
            </w:rPr>
            <w:fldChar w:fldCharType="end"/>
          </w:r>
        </w:sdtContent>
      </w:sdt>
      <w:r w:rsidR="009326D7" w:rsidRPr="001B5DCC">
        <w:rPr>
          <w:rFonts w:ascii="Times New Roman" w:hAnsi="Times New Roman" w:cs="Times New Roman"/>
          <w:b w:val="0"/>
          <w:color w:val="auto"/>
          <w:sz w:val="24"/>
          <w:szCs w:val="24"/>
          <w:shd w:val="clear" w:color="auto" w:fill="FFFFFF"/>
        </w:rPr>
        <w:t>.</w:t>
      </w:r>
    </w:p>
    <w:p w:rsidR="00C96DFB" w:rsidRPr="001B5DCC" w:rsidRDefault="00563297" w:rsidP="001B5DCC">
      <w:pPr>
        <w:pStyle w:val="Heading3"/>
        <w:shd w:val="clear" w:color="auto" w:fill="FFFFFF"/>
        <w:spacing w:before="0" w:beforeAutospacing="0" w:after="0" w:afterAutospacing="0" w:line="480" w:lineRule="auto"/>
        <w:ind w:firstLine="720"/>
        <w:textAlignment w:val="baseline"/>
        <w:rPr>
          <w:b w:val="0"/>
          <w:sz w:val="24"/>
          <w:szCs w:val="24"/>
          <w:shd w:val="clear" w:color="auto" w:fill="FFFFFF"/>
        </w:rPr>
      </w:pPr>
      <w:r w:rsidRPr="001B5DCC">
        <w:rPr>
          <w:b w:val="0"/>
          <w:bCs w:val="0"/>
          <w:sz w:val="24"/>
          <w:szCs w:val="24"/>
        </w:rPr>
        <w:t xml:space="preserve">By ensuring the confidentiality of the </w:t>
      </w:r>
      <w:r w:rsidRPr="001B5DCC">
        <w:rPr>
          <w:b w:val="0"/>
          <w:sz w:val="24"/>
          <w:szCs w:val="24"/>
          <w:shd w:val="clear" w:color="auto" w:fill="FFFFFF"/>
        </w:rPr>
        <w:t xml:space="preserve">practice of recording patient therapy sessions, a balance can be achieved, whereby both the patient and the agency conducting the therapy are obliged to disclose information only under the permitted </w:t>
      </w:r>
      <w:r w:rsidRPr="001B5DCC">
        <w:rPr>
          <w:b w:val="0"/>
          <w:sz w:val="24"/>
          <w:szCs w:val="24"/>
          <w:shd w:val="clear" w:color="auto" w:fill="FFFFFF"/>
        </w:rPr>
        <w:t>exceptions. In this case, the matter in which the records about the alleged tape recordings were disseminated was unethical, however, since there is an imminent threat on posed by the patient, the recordings may be used to initiate or substantiate any crim</w:t>
      </w:r>
      <w:r w:rsidRPr="001B5DCC">
        <w:rPr>
          <w:b w:val="0"/>
          <w:sz w:val="24"/>
          <w:szCs w:val="24"/>
          <w:shd w:val="clear" w:color="auto" w:fill="FFFFFF"/>
        </w:rPr>
        <w:t>inal charges against the patient or conduct any further investigations.</w:t>
      </w:r>
    </w:p>
    <w:p w:rsidR="001B5DCC" w:rsidRPr="001B5DCC" w:rsidRDefault="001B5DCC" w:rsidP="001B5DCC">
      <w:pPr>
        <w:pStyle w:val="Heading3"/>
        <w:shd w:val="clear" w:color="auto" w:fill="FFFFFF"/>
        <w:spacing w:before="0" w:beforeAutospacing="0" w:after="0" w:afterAutospacing="0" w:line="480" w:lineRule="auto"/>
        <w:ind w:firstLine="720"/>
        <w:textAlignment w:val="baseline"/>
        <w:rPr>
          <w:b w:val="0"/>
          <w:sz w:val="24"/>
          <w:szCs w:val="24"/>
          <w:shd w:val="clear" w:color="auto" w:fill="FFFFFF"/>
        </w:rPr>
      </w:pPr>
    </w:p>
    <w:sdt>
      <w:sdtPr>
        <w:rPr>
          <w:rFonts w:ascii="Times New Roman" w:hAnsi="Times New Roman" w:cs="Times New Roman"/>
          <w:color w:val="auto"/>
          <w:sz w:val="24"/>
          <w:szCs w:val="24"/>
        </w:rPr>
        <w:id w:val="-423495431"/>
        <w:docPartObj>
          <w:docPartGallery w:val="Bibliographies"/>
          <w:docPartUnique/>
        </w:docPartObj>
      </w:sdtPr>
      <w:sdtEndPr>
        <w:rPr>
          <w:rFonts w:eastAsiaTheme="minorHAnsi"/>
          <w:b w:val="0"/>
          <w:bCs w:val="0"/>
        </w:rPr>
      </w:sdtEndPr>
      <w:sdtContent>
        <w:p w:rsidR="001B5DCC" w:rsidRPr="001B5DCC" w:rsidRDefault="001B5DCC" w:rsidP="001B5DCC">
          <w:pPr>
            <w:pStyle w:val="Heading1"/>
            <w:jc w:val="center"/>
            <w:rPr>
              <w:rFonts w:ascii="Times New Roman" w:hAnsi="Times New Roman" w:cs="Times New Roman"/>
              <w:b w:val="0"/>
              <w:color w:val="auto"/>
              <w:sz w:val="24"/>
              <w:szCs w:val="24"/>
            </w:rPr>
          </w:pPr>
          <w:r w:rsidRPr="001B5DCC">
            <w:rPr>
              <w:rFonts w:ascii="Times New Roman" w:hAnsi="Times New Roman" w:cs="Times New Roman"/>
              <w:b w:val="0"/>
              <w:color w:val="auto"/>
              <w:sz w:val="24"/>
              <w:szCs w:val="24"/>
            </w:rPr>
            <w:t>References</w:t>
          </w:r>
        </w:p>
        <w:sdt>
          <w:sdtPr>
            <w:id w:val="111145805"/>
            <w:bibliography/>
          </w:sdtPr>
          <w:sdtContent>
            <w:p w:rsidR="001B5DCC" w:rsidRPr="001B5DCC" w:rsidRDefault="001B5DCC" w:rsidP="001B5DCC">
              <w:pPr>
                <w:pStyle w:val="Bibliography"/>
                <w:ind w:left="720" w:hanging="720"/>
              </w:pPr>
              <w:r w:rsidRPr="001B5DCC">
                <w:rPr>
                  <w:shd w:val="clear" w:color="auto" w:fill="FFFFFF"/>
                </w:rPr>
                <w:t>Center for Substance Abuse Treatment. (1997). Appendix B—Federal Confidentiality Regulations.</w:t>
              </w:r>
            </w:p>
            <w:p w:rsidR="001B5DCC" w:rsidRPr="001B5DCC" w:rsidRDefault="001B5DCC" w:rsidP="001B5DCC">
              <w:pPr>
                <w:pStyle w:val="Bibliography"/>
                <w:ind w:left="720" w:hanging="720"/>
                <w:rPr>
                  <w:noProof/>
                </w:rPr>
              </w:pPr>
              <w:r w:rsidRPr="001B5DCC">
                <w:fldChar w:fldCharType="begin"/>
              </w:r>
              <w:r w:rsidRPr="001B5DCC">
                <w:instrText xml:space="preserve"> BIBLIOGRAPHY </w:instrText>
              </w:r>
              <w:r w:rsidRPr="001B5DCC">
                <w:fldChar w:fldCharType="separate"/>
              </w:r>
              <w:r w:rsidRPr="001B5DCC">
                <w:rPr>
                  <w:noProof/>
                </w:rPr>
                <w:t xml:space="preserve">Ethics, A. P. (2017, Jan 01). </w:t>
              </w:r>
              <w:r w:rsidRPr="001B5DCC">
                <w:rPr>
                  <w:i/>
                  <w:iCs/>
                  <w:noProof/>
                </w:rPr>
                <w:t>Ethical Principles of Psychologists and Code of Conduct</w:t>
              </w:r>
              <w:r w:rsidRPr="001B5DCC">
                <w:rPr>
                  <w:noProof/>
                </w:rPr>
                <w:t>. Retrieved Dec 08, 2018, from American Psychological Association: https://www.apa.org/ethics/code/</w:t>
              </w:r>
            </w:p>
            <w:p w:rsidR="001B5DCC" w:rsidRPr="001B5DCC" w:rsidRDefault="001B5DCC" w:rsidP="001B5DCC">
              <w:pPr>
                <w:pStyle w:val="Bibliography"/>
                <w:ind w:left="720" w:hanging="720"/>
                <w:rPr>
                  <w:noProof/>
                </w:rPr>
              </w:pPr>
              <w:r w:rsidRPr="001B5DCC">
                <w:rPr>
                  <w:noProof/>
                </w:rPr>
                <w:t xml:space="preserve">Insititute, L. I. (1992). </w:t>
              </w:r>
              <w:r w:rsidRPr="001B5DCC">
                <w:rPr>
                  <w:i/>
                  <w:iCs/>
                  <w:noProof/>
                </w:rPr>
                <w:t>42 U.S. Code § 290dd-2</w:t>
              </w:r>
              <w:r w:rsidRPr="001B5DCC">
                <w:rPr>
                  <w:noProof/>
                </w:rPr>
                <w:t>. Retrieved Dec 08, 2018, from Confidentiality of Records: https://www.law.cornell.edu/uscode/text/42/290dd%E2%80%932</w:t>
              </w:r>
            </w:p>
            <w:p w:rsidR="001B5DCC" w:rsidRPr="001B5DCC" w:rsidRDefault="001B5DCC" w:rsidP="001B5DCC">
              <w:pPr>
                <w:ind w:left="720" w:hanging="720"/>
                <w:rPr>
                  <w:shd w:val="clear" w:color="auto" w:fill="FFFFFF"/>
                </w:rPr>
              </w:pPr>
              <w:r w:rsidRPr="001B5DCC">
                <w:rPr>
                  <w:shd w:val="clear" w:color="auto" w:fill="FFFFFF"/>
                </w:rPr>
                <w:t>Rothstein, M. A., &amp; Talbott, M. K. (2006). Compelled disclosure of health information: Protecting against the greatest potential threat to privacy. </w:t>
              </w:r>
              <w:r w:rsidRPr="001B5DCC">
                <w:rPr>
                  <w:i/>
                  <w:iCs/>
                  <w:shd w:val="clear" w:color="auto" w:fill="FFFFFF"/>
                </w:rPr>
                <w:t>Jama</w:t>
              </w:r>
              <w:r w:rsidRPr="001B5DCC">
                <w:rPr>
                  <w:shd w:val="clear" w:color="auto" w:fill="FFFFFF"/>
                </w:rPr>
                <w:t>, </w:t>
              </w:r>
              <w:r w:rsidRPr="001B5DCC">
                <w:rPr>
                  <w:i/>
                  <w:iCs/>
                  <w:shd w:val="clear" w:color="auto" w:fill="FFFFFF"/>
                </w:rPr>
                <w:t>295</w:t>
              </w:r>
              <w:r w:rsidRPr="001B5DCC">
                <w:rPr>
                  <w:shd w:val="clear" w:color="auto" w:fill="FFFFFF"/>
                </w:rPr>
                <w:t>(24), 2882-2885.</w:t>
              </w:r>
            </w:p>
            <w:p w:rsidR="001B5DCC" w:rsidRPr="001B5DCC" w:rsidRDefault="001B5DCC" w:rsidP="001B5DCC">
              <w:pPr>
                <w:ind w:left="720" w:hanging="720"/>
                <w:rPr>
                  <w:shd w:val="clear" w:color="auto" w:fill="FFFFFF"/>
                </w:rPr>
              </w:pPr>
              <w:r w:rsidRPr="001B5DCC">
                <w:rPr>
                  <w:shd w:val="clear" w:color="auto" w:fill="FFFFFF"/>
                </w:rPr>
                <w:t>Saks, M. J., &amp; Koehler, J. J. (2005). The coming paradigm shift in forensic identification science. </w:t>
              </w:r>
              <w:r w:rsidRPr="001B5DCC">
                <w:rPr>
                  <w:i/>
                  <w:iCs/>
                  <w:shd w:val="clear" w:color="auto" w:fill="FFFFFF"/>
                </w:rPr>
                <w:t>Science</w:t>
              </w:r>
              <w:r w:rsidRPr="001B5DCC">
                <w:rPr>
                  <w:shd w:val="clear" w:color="auto" w:fill="FFFFFF"/>
                </w:rPr>
                <w:t>, </w:t>
              </w:r>
              <w:r w:rsidRPr="001B5DCC">
                <w:rPr>
                  <w:i/>
                  <w:iCs/>
                  <w:shd w:val="clear" w:color="auto" w:fill="FFFFFF"/>
                </w:rPr>
                <w:t>309</w:t>
              </w:r>
              <w:r w:rsidRPr="001B5DCC">
                <w:rPr>
                  <w:shd w:val="clear" w:color="auto" w:fill="FFFFFF"/>
                </w:rPr>
                <w:t>(5736), 892-895.</w:t>
              </w:r>
            </w:p>
            <w:p w:rsidR="001B5DCC" w:rsidRPr="001B5DCC" w:rsidRDefault="001B5DCC" w:rsidP="001B5DCC"/>
            <w:p w:rsidR="001B5DCC" w:rsidRPr="001B5DCC" w:rsidRDefault="001B5DCC" w:rsidP="001B5DCC">
              <w:r w:rsidRPr="001B5DCC">
                <w:rPr>
                  <w:b/>
                  <w:bCs/>
                  <w:noProof/>
                </w:rPr>
                <w:fldChar w:fldCharType="end"/>
              </w:r>
            </w:p>
          </w:sdtContent>
        </w:sdt>
      </w:sdtContent>
    </w:sdt>
    <w:p w:rsidR="001B5DCC" w:rsidRPr="001B5DCC" w:rsidRDefault="001B5DCC" w:rsidP="001B5DCC">
      <w:pPr>
        <w:pStyle w:val="Heading3"/>
        <w:shd w:val="clear" w:color="auto" w:fill="FFFFFF"/>
        <w:spacing w:before="0" w:beforeAutospacing="0" w:after="0" w:afterAutospacing="0" w:line="480" w:lineRule="auto"/>
        <w:ind w:firstLine="720"/>
        <w:textAlignment w:val="baseline"/>
        <w:rPr>
          <w:b w:val="0"/>
          <w:bCs w:val="0"/>
          <w:sz w:val="24"/>
          <w:szCs w:val="24"/>
        </w:rPr>
      </w:pPr>
    </w:p>
    <w:p w:rsidR="00C96DFB" w:rsidRPr="001B5DCC" w:rsidRDefault="00C96DFB" w:rsidP="001B5DCC">
      <w:pPr>
        <w:pStyle w:val="Heading3"/>
        <w:shd w:val="clear" w:color="auto" w:fill="FFFFFF"/>
        <w:spacing w:before="0" w:beforeAutospacing="0" w:after="0" w:afterAutospacing="0" w:line="480" w:lineRule="auto"/>
        <w:ind w:firstLine="720"/>
        <w:textAlignment w:val="baseline"/>
        <w:rPr>
          <w:b w:val="0"/>
          <w:bCs w:val="0"/>
          <w:sz w:val="24"/>
          <w:szCs w:val="24"/>
        </w:rPr>
      </w:pPr>
    </w:p>
    <w:p w:rsidR="008F3E75" w:rsidRPr="001B5DCC" w:rsidRDefault="008F3E75" w:rsidP="001B5DCC">
      <w:pPr>
        <w:spacing w:after="0" w:line="480" w:lineRule="auto"/>
        <w:ind w:firstLine="720"/>
      </w:pPr>
      <w:bookmarkStart w:id="1" w:name="_GoBack"/>
      <w:bookmarkEnd w:id="1"/>
    </w:p>
    <w:sectPr w:rsidR="008F3E75" w:rsidRPr="001B5DCC" w:rsidSect="001B5DC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3297" w:rsidRDefault="00563297" w:rsidP="001B5DCC">
      <w:pPr>
        <w:spacing w:after="0" w:line="240" w:lineRule="auto"/>
      </w:pPr>
      <w:r>
        <w:separator/>
      </w:r>
    </w:p>
  </w:endnote>
  <w:endnote w:type="continuationSeparator" w:id="0">
    <w:p w:rsidR="00563297" w:rsidRDefault="00563297" w:rsidP="001B5D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3297" w:rsidRDefault="00563297" w:rsidP="001B5DCC">
      <w:pPr>
        <w:spacing w:after="0" w:line="240" w:lineRule="auto"/>
      </w:pPr>
      <w:r>
        <w:separator/>
      </w:r>
    </w:p>
  </w:footnote>
  <w:footnote w:type="continuationSeparator" w:id="0">
    <w:p w:rsidR="00563297" w:rsidRDefault="00563297" w:rsidP="001B5D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5DCC" w:rsidRDefault="001B5DCC">
    <w:pPr>
      <w:pStyle w:val="Header"/>
      <w:jc w:val="right"/>
    </w:pPr>
    <w:r>
      <w:t xml:space="preserve">STEPHEN COLLINS                                                                                                                      </w:t>
    </w:r>
    <w:sdt>
      <w:sdtPr>
        <w:id w:val="2483272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40F2C">
          <w:rPr>
            <w:noProof/>
          </w:rPr>
          <w:t>5</w:t>
        </w:r>
        <w:r>
          <w:rPr>
            <w:noProof/>
          </w:rPr>
          <w:fldChar w:fldCharType="end"/>
        </w:r>
      </w:sdtContent>
    </w:sdt>
  </w:p>
  <w:p w:rsidR="001B5DCC" w:rsidRDefault="001B5D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5DCC" w:rsidRDefault="001B5DCC">
    <w:pPr>
      <w:pStyle w:val="Header"/>
      <w:jc w:val="right"/>
    </w:pPr>
    <w:r>
      <w:t xml:space="preserve">Running head: STEPHEN COLLINS                                                                                            </w:t>
    </w:r>
    <w:sdt>
      <w:sdtPr>
        <w:id w:val="17486079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1B5DCC" w:rsidRDefault="001B5DC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9758B4"/>
    <w:multiLevelType w:val="hybridMultilevel"/>
    <w:tmpl w:val="C164A69A"/>
    <w:lvl w:ilvl="0" w:tplc="D6DC4558">
      <w:start w:val="1"/>
      <w:numFmt w:val="decimal"/>
      <w:lvlText w:val="%1."/>
      <w:lvlJc w:val="left"/>
      <w:pPr>
        <w:ind w:left="420" w:hanging="360"/>
      </w:pPr>
      <w:rPr>
        <w:rFonts w:hint="default"/>
      </w:rPr>
    </w:lvl>
    <w:lvl w:ilvl="1" w:tplc="9002328A" w:tentative="1">
      <w:start w:val="1"/>
      <w:numFmt w:val="lowerLetter"/>
      <w:lvlText w:val="%2."/>
      <w:lvlJc w:val="left"/>
      <w:pPr>
        <w:ind w:left="1140" w:hanging="360"/>
      </w:pPr>
    </w:lvl>
    <w:lvl w:ilvl="2" w:tplc="614AE61A" w:tentative="1">
      <w:start w:val="1"/>
      <w:numFmt w:val="lowerRoman"/>
      <w:lvlText w:val="%3."/>
      <w:lvlJc w:val="right"/>
      <w:pPr>
        <w:ind w:left="1860" w:hanging="180"/>
      </w:pPr>
    </w:lvl>
    <w:lvl w:ilvl="3" w:tplc="083E9A3E" w:tentative="1">
      <w:start w:val="1"/>
      <w:numFmt w:val="decimal"/>
      <w:lvlText w:val="%4."/>
      <w:lvlJc w:val="left"/>
      <w:pPr>
        <w:ind w:left="2580" w:hanging="360"/>
      </w:pPr>
    </w:lvl>
    <w:lvl w:ilvl="4" w:tplc="CF441EB8" w:tentative="1">
      <w:start w:val="1"/>
      <w:numFmt w:val="lowerLetter"/>
      <w:lvlText w:val="%5."/>
      <w:lvlJc w:val="left"/>
      <w:pPr>
        <w:ind w:left="3300" w:hanging="360"/>
      </w:pPr>
    </w:lvl>
    <w:lvl w:ilvl="5" w:tplc="CD4691F6" w:tentative="1">
      <w:start w:val="1"/>
      <w:numFmt w:val="lowerRoman"/>
      <w:lvlText w:val="%6."/>
      <w:lvlJc w:val="right"/>
      <w:pPr>
        <w:ind w:left="4020" w:hanging="180"/>
      </w:pPr>
    </w:lvl>
    <w:lvl w:ilvl="6" w:tplc="2B46A7EA" w:tentative="1">
      <w:start w:val="1"/>
      <w:numFmt w:val="decimal"/>
      <w:lvlText w:val="%7."/>
      <w:lvlJc w:val="left"/>
      <w:pPr>
        <w:ind w:left="4740" w:hanging="360"/>
      </w:pPr>
    </w:lvl>
    <w:lvl w:ilvl="7" w:tplc="2A820202" w:tentative="1">
      <w:start w:val="1"/>
      <w:numFmt w:val="lowerLetter"/>
      <w:lvlText w:val="%8."/>
      <w:lvlJc w:val="left"/>
      <w:pPr>
        <w:ind w:left="5460" w:hanging="360"/>
      </w:pPr>
    </w:lvl>
    <w:lvl w:ilvl="8" w:tplc="4BF8F5A6"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3E75"/>
    <w:rsid w:val="00055AC4"/>
    <w:rsid w:val="000850BA"/>
    <w:rsid w:val="001B5DCC"/>
    <w:rsid w:val="00270CB5"/>
    <w:rsid w:val="003735FA"/>
    <w:rsid w:val="003D4673"/>
    <w:rsid w:val="003E2A12"/>
    <w:rsid w:val="00423B29"/>
    <w:rsid w:val="004E7CDB"/>
    <w:rsid w:val="00540F2C"/>
    <w:rsid w:val="00563297"/>
    <w:rsid w:val="008F3E75"/>
    <w:rsid w:val="00920175"/>
    <w:rsid w:val="009326D7"/>
    <w:rsid w:val="009E61B8"/>
    <w:rsid w:val="00B40B98"/>
    <w:rsid w:val="00C926A4"/>
    <w:rsid w:val="00C96DFB"/>
    <w:rsid w:val="00D03807"/>
    <w:rsid w:val="00DA274F"/>
    <w:rsid w:val="00EF2E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96DF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920175"/>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3E75"/>
    <w:pPr>
      <w:ind w:left="720"/>
      <w:contextualSpacing/>
    </w:pPr>
  </w:style>
  <w:style w:type="character" w:customStyle="1" w:styleId="Heading3Char">
    <w:name w:val="Heading 3 Char"/>
    <w:basedOn w:val="DefaultParagraphFont"/>
    <w:link w:val="Heading3"/>
    <w:uiPriority w:val="9"/>
    <w:rsid w:val="00920175"/>
    <w:rPr>
      <w:rFonts w:eastAsia="Times New Roman"/>
      <w:b/>
      <w:bCs/>
      <w:sz w:val="27"/>
      <w:szCs w:val="27"/>
    </w:rPr>
  </w:style>
  <w:style w:type="character" w:customStyle="1" w:styleId="Heading1Char">
    <w:name w:val="Heading 1 Char"/>
    <w:basedOn w:val="DefaultParagraphFont"/>
    <w:link w:val="Heading1"/>
    <w:uiPriority w:val="9"/>
    <w:rsid w:val="00C96DFB"/>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270C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0CB5"/>
    <w:rPr>
      <w:rFonts w:ascii="Tahoma" w:hAnsi="Tahoma" w:cs="Tahoma"/>
      <w:sz w:val="16"/>
      <w:szCs w:val="16"/>
    </w:rPr>
  </w:style>
  <w:style w:type="paragraph" w:styleId="Header">
    <w:name w:val="header"/>
    <w:basedOn w:val="Normal"/>
    <w:link w:val="HeaderChar"/>
    <w:uiPriority w:val="99"/>
    <w:unhideWhenUsed/>
    <w:rsid w:val="001B5D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5DCC"/>
  </w:style>
  <w:style w:type="paragraph" w:styleId="Footer">
    <w:name w:val="footer"/>
    <w:basedOn w:val="Normal"/>
    <w:link w:val="FooterChar"/>
    <w:uiPriority w:val="99"/>
    <w:unhideWhenUsed/>
    <w:rsid w:val="001B5D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5DCC"/>
  </w:style>
  <w:style w:type="paragraph" w:styleId="Bibliography">
    <w:name w:val="Bibliography"/>
    <w:basedOn w:val="Normal"/>
    <w:next w:val="Normal"/>
    <w:uiPriority w:val="37"/>
    <w:unhideWhenUsed/>
    <w:rsid w:val="001B5D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96DF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920175"/>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3E75"/>
    <w:pPr>
      <w:ind w:left="720"/>
      <w:contextualSpacing/>
    </w:pPr>
  </w:style>
  <w:style w:type="character" w:customStyle="1" w:styleId="Heading3Char">
    <w:name w:val="Heading 3 Char"/>
    <w:basedOn w:val="DefaultParagraphFont"/>
    <w:link w:val="Heading3"/>
    <w:uiPriority w:val="9"/>
    <w:rsid w:val="00920175"/>
    <w:rPr>
      <w:rFonts w:eastAsia="Times New Roman"/>
      <w:b/>
      <w:bCs/>
      <w:sz w:val="27"/>
      <w:szCs w:val="27"/>
    </w:rPr>
  </w:style>
  <w:style w:type="character" w:customStyle="1" w:styleId="Heading1Char">
    <w:name w:val="Heading 1 Char"/>
    <w:basedOn w:val="DefaultParagraphFont"/>
    <w:link w:val="Heading1"/>
    <w:uiPriority w:val="9"/>
    <w:rsid w:val="00C96DFB"/>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270C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0CB5"/>
    <w:rPr>
      <w:rFonts w:ascii="Tahoma" w:hAnsi="Tahoma" w:cs="Tahoma"/>
      <w:sz w:val="16"/>
      <w:szCs w:val="16"/>
    </w:rPr>
  </w:style>
  <w:style w:type="paragraph" w:styleId="Header">
    <w:name w:val="header"/>
    <w:basedOn w:val="Normal"/>
    <w:link w:val="HeaderChar"/>
    <w:uiPriority w:val="99"/>
    <w:unhideWhenUsed/>
    <w:rsid w:val="001B5D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5DCC"/>
  </w:style>
  <w:style w:type="paragraph" w:styleId="Footer">
    <w:name w:val="footer"/>
    <w:basedOn w:val="Normal"/>
    <w:link w:val="FooterChar"/>
    <w:uiPriority w:val="99"/>
    <w:unhideWhenUsed/>
    <w:rsid w:val="001B5D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5DCC"/>
  </w:style>
  <w:style w:type="paragraph" w:styleId="Bibliography">
    <w:name w:val="Bibliography"/>
    <w:basedOn w:val="Normal"/>
    <w:next w:val="Normal"/>
    <w:uiPriority w:val="37"/>
    <w:unhideWhenUsed/>
    <w:rsid w:val="001B5D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Ame17</b:Tag>
    <b:SourceType>InternetSite</b:SourceType>
    <b:Guid>{399A6CEF-7680-4D26-A195-55BD4D00BE26}</b:Guid>
    <b:Author>
      <b:Author>
        <b:NameList>
          <b:Person>
            <b:Last>Ethics</b:Last>
            <b:First>American</b:First>
            <b:Middle>Psychological Association’s Code of</b:Middle>
          </b:Person>
        </b:NameList>
      </b:Author>
    </b:Author>
    <b:Title>Ethical Principles of Psychologists and Code of Conduct</b:Title>
    <b:InternetSiteTitle>American Psychological Association</b:InternetSiteTitle>
    <b:Year>2017</b:Year>
    <b:Month>Jan</b:Month>
    <b:Day>01</b:Day>
    <b:YearAccessed>2018</b:YearAccessed>
    <b:MonthAccessed>Dec</b:MonthAccessed>
    <b:DayAccessed>08</b:DayAccessed>
    <b:URL>https://www.apa.org/ethics/code/</b:URL>
    <b:RefOrder>1</b:RefOrder>
  </b:Source>
  <b:Source>
    <b:Tag>Leg92</b:Tag>
    <b:SourceType>InternetSite</b:SourceType>
    <b:Guid>{135E2979-59BE-49D4-ADA5-E4E05BD93BE4}</b:Guid>
    <b:Author>
      <b:Author>
        <b:NameList>
          <b:Person>
            <b:Last>Insititute</b:Last>
            <b:First>Legal</b:First>
            <b:Middle>Information</b:Middle>
          </b:Person>
        </b:NameList>
      </b:Author>
    </b:Author>
    <b:Title>42 U.S. Code § 290dd-2</b:Title>
    <b:InternetSiteTitle>Confidentiality of Records</b:InternetSiteTitle>
    <b:Year>1992</b:Year>
    <b:YearAccessed>2018</b:YearAccessed>
    <b:MonthAccessed>Dec</b:MonthAccessed>
    <b:DayAccessed>08</b:DayAccessed>
    <b:URL>https://www.law.cornell.edu/uscode/text/42/290dd%E2%80%932</b:URL>
    <b:RefOrder>2</b:RefOrder>
  </b:Source>
</b:Sources>
</file>

<file path=customXml/itemProps1.xml><?xml version="1.0" encoding="utf-8"?>
<ds:datastoreItem xmlns:ds="http://schemas.openxmlformats.org/officeDocument/2006/customXml" ds:itemID="{EA611574-FB1B-4986-ACA6-7F28EDEBC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993</Words>
  <Characters>5665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2018-12-09T07:02:00Z</dcterms:created>
  <dcterms:modified xsi:type="dcterms:W3CDTF">2018-12-09T07:02:00Z</dcterms:modified>
</cp:coreProperties>
</file>